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7.0" w:type="dxa"/>
        <w:jc w:val="left"/>
        <w:tblInd w:w="660.0" w:type="dxa"/>
        <w:tblLayout w:type="fixed"/>
        <w:tblLook w:val="0000"/>
      </w:tblPr>
      <w:tblGrid>
        <w:gridCol w:w="5814"/>
        <w:gridCol w:w="447"/>
        <w:gridCol w:w="3956"/>
        <w:tblGridChange w:id="0">
          <w:tblGrid>
            <w:gridCol w:w="5814"/>
            <w:gridCol w:w="447"/>
            <w:gridCol w:w="3956"/>
          </w:tblGrid>
        </w:tblGridChange>
      </w:tblGrid>
      <w:tr>
        <w:trPr>
          <w:trHeight w:val="740" w:hRule="atLeast"/>
        </w:trPr>
        <w:tc>
          <w:tcPr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2533650" cy="2247900"/>
                  <wp:effectExtent b="0" l="0" r="0" t="0"/>
                  <wp:docPr descr="log rata.png" id="1" name="image1.png"/>
                  <a:graphic>
                    <a:graphicData uri="http://schemas.openxmlformats.org/drawingml/2006/picture">
                      <pic:pic>
                        <pic:nvPicPr>
                          <pic:cNvPr descr="log rata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24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Title"/>
              <w:rPr>
                <w:color w:val="000000"/>
                <w:sz w:val="60"/>
                <w:szCs w:val="60"/>
              </w:rPr>
            </w:pPr>
            <w:r w:rsidDel="00000000" w:rsidR="00000000" w:rsidRPr="00000000">
              <w:rPr>
                <w:color w:val="000000"/>
                <w:sz w:val="60"/>
                <w:szCs w:val="60"/>
                <w:rtl w:val="0"/>
              </w:rPr>
              <w:t xml:space="preserve">LETTER OF INTEND</w:t>
            </w:r>
          </w:p>
        </w:tc>
      </w:tr>
      <w:tr>
        <w:trPr>
          <w:trHeight w:val="800" w:hRule="atLeast"/>
        </w:trPr>
        <w:tc>
          <w:tcPr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a6a6a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a6a6a6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a6a6a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RE: LETTER OF INTEND tO SUPPLY TRUCKS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Date: 10/10/2019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RATANANG MINING &amp;TRADING (PTY)LTd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REG:2016/287691/07</w:t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VAT:4470286941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Paye:7190805871</w:t>
            </w:r>
          </w:p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Coida :900113567</w:t>
            </w:r>
          </w:p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No:781 </w:t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Enkeldoorn ave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Rose acres Estate</w:t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Montana Park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Pretoria </w:t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Tell:01224401126/0798986928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Fax:0865683245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Email:ratanangtrading86@gmail.com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Email:truckingloads@highveldmail.co.za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6.0" w:type="dxa"/>
        <w:jc w:val="left"/>
        <w:tblInd w:w="0.0" w:type="dxa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1242"/>
        <w:gridCol w:w="1701"/>
        <w:gridCol w:w="1701"/>
        <w:gridCol w:w="1701"/>
        <w:gridCol w:w="1701"/>
        <w:gridCol w:w="1560"/>
        <w:gridCol w:w="930"/>
        <w:tblGridChange w:id="0">
          <w:tblGrid>
            <w:gridCol w:w="1242"/>
            <w:gridCol w:w="1701"/>
            <w:gridCol w:w="1701"/>
            <w:gridCol w:w="1701"/>
            <w:gridCol w:w="1701"/>
            <w:gridCol w:w="1560"/>
            <w:gridCol w:w="930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COMMODITY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LOADING POINT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OFF-LOADING POINT 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RATE PER TON 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KILOMETRES ROUND TRIP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Payment terms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Operating Hours 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Chrome/NIckel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Columbus stainless steel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Middleburg ferro chrome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R115.000 per forth night 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12km round trip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Fortnightly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7am-10pm 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EXCLUSIVE OF VAT 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VAT 15%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INCLUSIVE OF VAT 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a6a6a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a6a6a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080" w:top="14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entury Gothic" w:cs="Century Gothic" w:eastAsia="Century Gothic" w:hAnsi="Century Gothic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800" w:lineRule="auto"/>
      <w:jc w:val="right"/>
    </w:pPr>
    <w:rPr>
      <w:rFonts w:ascii="Century Gothic" w:cs="Century Gothic" w:eastAsia="Century Gothic" w:hAnsi="Century Gothic"/>
      <w:smallCaps w:val="1"/>
      <w:color w:val="a6a6a6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15.0" w:type="dxa"/>
        <w:bottom w:w="58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